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647131"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13.05.2022                                                                                                                      № 480/2022</w:t>
      </w: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xml:space="preserve"> D.V. Krainsky (Chairman), I.D. Alyushenko, P.V. Grebtsov, V.Yu. Zarkhin, A.I. Kazakov, O.Yu. Klinkov, M.V.Korotkova, M.V.Nikitchanova, A.A. Polinov,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E329AD">
        <w:rPr>
          <w:rtl w:val="0"/>
          <w:lang w:val="en"/>
        </w:rPr>
        <w:t>13.05.2022.</w:t>
      </w:r>
    </w:p>
    <w:p w:rsidR="007869C0" w:rsidP="00EB59CE">
      <w:pPr>
        <w:widowControl w:val="0"/>
        <w:autoSpaceDE w:val="0"/>
        <w:autoSpaceDN w:val="0"/>
        <w:adjustRightInd w:val="0"/>
        <w:jc w:val="center"/>
        <w:rPr>
          <w:b/>
          <w:bCs/>
        </w:rPr>
      </w:pPr>
    </w:p>
    <w:p w:rsidR="00EA3918"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1E114B">
        <w:tblPrEx>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A42141" w:rsidRPr="00A42141" w:rsidP="00A42141">
            <w:pPr>
              <w:pStyle w:val="ListParagraph"/>
              <w:numPr>
                <w:ilvl w:val="0"/>
                <w:numId w:val="14"/>
              </w:numPr>
              <w:tabs>
                <w:tab w:val="left" w:pos="1163"/>
              </w:tabs>
              <w:bidi w:val="0"/>
              <w:spacing w:after="0" w:line="240" w:lineRule="auto"/>
              <w:ind w:left="0" w:firstLine="595"/>
              <w:jc w:val="both"/>
              <w:rPr>
                <w:rFonts w:ascii="Times New Roman" w:hAnsi="Times New Roman"/>
                <w:i/>
                <w:sz w:val="24"/>
                <w:szCs w:val="24"/>
              </w:rPr>
            </w:pPr>
            <w:r w:rsidRPr="00A42141">
              <w:rPr>
                <w:rFonts w:ascii="Times New Roman" w:hAnsi="Times New Roman"/>
                <w:i/>
                <w:sz w:val="24"/>
                <w:szCs w:val="24"/>
                <w:rtl w:val="0"/>
                <w:lang w:val="en"/>
              </w:rPr>
              <w:t>On consideration of the report on the implementation of the Charging Infrastructure Development Program of Rosseti South PJSC for the period up to 2025 for 2021.</w:t>
            </w:r>
          </w:p>
          <w:p w:rsidR="00A42141" w:rsidRPr="00A42141" w:rsidP="00A42141">
            <w:pPr>
              <w:pStyle w:val="ListParagraph"/>
              <w:numPr>
                <w:ilvl w:val="0"/>
                <w:numId w:val="14"/>
              </w:numPr>
              <w:tabs>
                <w:tab w:val="left" w:pos="1163"/>
              </w:tabs>
              <w:bidi w:val="0"/>
              <w:spacing w:after="0" w:line="240" w:lineRule="auto"/>
              <w:ind w:left="0" w:firstLine="595"/>
              <w:jc w:val="both"/>
              <w:rPr>
                <w:rFonts w:ascii="Times New Roman" w:hAnsi="Times New Roman"/>
                <w:i/>
                <w:sz w:val="24"/>
                <w:szCs w:val="24"/>
              </w:rPr>
            </w:pPr>
            <w:r w:rsidRPr="00A42141">
              <w:rPr>
                <w:rFonts w:ascii="Times New Roman" w:hAnsi="Times New Roman"/>
                <w:i/>
                <w:sz w:val="24"/>
                <w:szCs w:val="24"/>
                <w:rtl w:val="0"/>
                <w:lang w:val="en"/>
              </w:rPr>
              <w:t>On approval of the Policy of Rosseti South PJSC in the field of energy saving and energy efficiency.</w:t>
            </w:r>
          </w:p>
          <w:p w:rsidR="00A42141" w:rsidRPr="00A42141" w:rsidP="00A42141">
            <w:pPr>
              <w:pStyle w:val="ListParagraph"/>
              <w:numPr>
                <w:ilvl w:val="0"/>
                <w:numId w:val="14"/>
              </w:numPr>
              <w:tabs>
                <w:tab w:val="left" w:pos="1163"/>
              </w:tabs>
              <w:bidi w:val="0"/>
              <w:spacing w:after="0" w:line="240" w:lineRule="auto"/>
              <w:ind w:left="0" w:firstLine="595"/>
              <w:jc w:val="both"/>
              <w:rPr>
                <w:rFonts w:ascii="Times New Roman" w:hAnsi="Times New Roman"/>
                <w:i/>
                <w:sz w:val="24"/>
                <w:szCs w:val="24"/>
              </w:rPr>
            </w:pPr>
            <w:r w:rsidRPr="00A42141">
              <w:rPr>
                <w:rFonts w:ascii="Times New Roman" w:hAnsi="Times New Roman"/>
                <w:i/>
                <w:sz w:val="24"/>
                <w:szCs w:val="24"/>
                <w:rtl w:val="0"/>
                <w:lang w:val="en"/>
              </w:rPr>
              <w:t>On approval of the Energy Saving and Energy Efficiency Improvement Program of Rosseti South PJSC for the period of 2022-2026.</w:t>
            </w:r>
          </w:p>
          <w:p w:rsidR="00A42141" w:rsidRPr="00A42141" w:rsidP="00A42141">
            <w:pPr>
              <w:pStyle w:val="ListParagraph"/>
              <w:numPr>
                <w:ilvl w:val="0"/>
                <w:numId w:val="14"/>
              </w:numPr>
              <w:tabs>
                <w:tab w:val="left" w:pos="1163"/>
              </w:tabs>
              <w:bidi w:val="0"/>
              <w:spacing w:after="0" w:line="240" w:lineRule="auto"/>
              <w:ind w:left="0" w:firstLine="595"/>
              <w:jc w:val="both"/>
              <w:rPr>
                <w:rFonts w:ascii="Times New Roman" w:hAnsi="Times New Roman"/>
                <w:i/>
                <w:sz w:val="24"/>
                <w:szCs w:val="24"/>
              </w:rPr>
            </w:pPr>
            <w:r w:rsidRPr="00A42141">
              <w:rPr>
                <w:rFonts w:ascii="Times New Roman" w:hAnsi="Times New Roman"/>
                <w:i/>
                <w:sz w:val="24"/>
                <w:szCs w:val="24"/>
                <w:rtl w:val="0"/>
                <w:lang w:val="en"/>
              </w:rPr>
              <w:t>On determination of position of Rosseti South PJSC (representatives of Rosseti South PJSC) on agenda item of the Meeting of the Board of Directors of VMES JSC "On consideration of the Credit Policy Report of VMES JSC for 2021".</w:t>
            </w:r>
          </w:p>
          <w:p w:rsidR="001E114B" w:rsidRPr="001E114B" w:rsidP="00A42141">
            <w:pPr>
              <w:pStyle w:val="ListParagraph"/>
              <w:numPr>
                <w:ilvl w:val="0"/>
                <w:numId w:val="14"/>
              </w:numPr>
              <w:tabs>
                <w:tab w:val="left" w:pos="1163"/>
              </w:tabs>
              <w:bidi w:val="0"/>
              <w:spacing w:after="0" w:line="240" w:lineRule="auto"/>
              <w:ind w:left="0" w:firstLine="595"/>
              <w:jc w:val="both"/>
              <w:rPr>
                <w:rFonts w:ascii="Times New Roman" w:hAnsi="Times New Roman"/>
                <w:i/>
                <w:sz w:val="24"/>
                <w:szCs w:val="24"/>
              </w:rPr>
            </w:pPr>
            <w:r w:rsidRPr="00A42141">
              <w:rPr>
                <w:rFonts w:ascii="Times New Roman" w:hAnsi="Times New Roman"/>
                <w:i/>
                <w:sz w:val="24"/>
                <w:szCs w:val="24"/>
                <w:rtl w:val="0"/>
                <w:lang w:val="en"/>
              </w:rPr>
              <w:t>On determination of the position of Rosseti South PJSC (representatives of Rosseti South PJSC) on ​​the issue on the agenda of the meeting of the Board of Directors of VMES JSC "On approval of the Credit Plan of VMES JSC for 2022".</w:t>
            </w:r>
          </w:p>
        </w:tc>
      </w:tr>
    </w:tbl>
    <w:p w:rsidR="00515DF7" w:rsidP="00762A98">
      <w:pPr>
        <w:tabs>
          <w:tab w:val="left" w:pos="709"/>
        </w:tabs>
        <w:ind w:firstLine="567"/>
        <w:jc w:val="both"/>
        <w:rPr>
          <w:bCs/>
          <w:i/>
        </w:rPr>
      </w:pPr>
    </w:p>
    <w:p w:rsidR="00A42141" w:rsidP="00762A98">
      <w:pPr>
        <w:tabs>
          <w:tab w:val="left" w:pos="709"/>
        </w:tabs>
        <w:ind w:firstLine="567"/>
        <w:jc w:val="both"/>
        <w:rPr>
          <w:bCs/>
          <w:i/>
        </w:rPr>
      </w:pPr>
    </w:p>
    <w:p w:rsidR="00A42141" w:rsidRPr="006A5C4B" w:rsidP="00A42141">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1: </w:t>
      </w:r>
      <w:r w:rsidRPr="00544D1A">
        <w:rPr>
          <w:rFonts w:eastAsia="Calibri"/>
          <w:b/>
          <w:rtl w:val="0"/>
          <w:lang w:val="en"/>
        </w:rPr>
        <w:t>On consideration of the report on the implementation of the Charging Infrastructure Development Program of Rosseti South PJSC for the period up to 2025 for 2021.</w:t>
      </w:r>
    </w:p>
    <w:p w:rsidR="00A42141" w:rsidP="00A42141">
      <w:pPr>
        <w:widowControl w:val="0"/>
        <w:tabs>
          <w:tab w:val="left" w:pos="709"/>
          <w:tab w:val="left" w:pos="851"/>
          <w:tab w:val="left" w:pos="993"/>
          <w:tab w:val="left" w:pos="1134"/>
        </w:tabs>
        <w:bidi w:val="0"/>
        <w:jc w:val="both"/>
        <w:rPr>
          <w:b/>
        </w:rPr>
      </w:pPr>
      <w:r w:rsidRPr="00BE449A">
        <w:rPr>
          <w:b/>
          <w:rtl w:val="0"/>
          <w:lang w:val="en"/>
        </w:rPr>
        <w:t>DECISION:</w:t>
      </w:r>
    </w:p>
    <w:p w:rsidR="00A42141" w:rsidP="00A42141">
      <w:pPr>
        <w:tabs>
          <w:tab w:val="left" w:pos="1134"/>
        </w:tabs>
        <w:bidi w:val="0"/>
        <w:jc w:val="both"/>
      </w:pPr>
      <w:r w:rsidRPr="003813AC">
        <w:rPr>
          <w:rtl w:val="0"/>
          <w:lang w:val="en"/>
        </w:rPr>
        <w:t>Take into account the report on the implementation of the Charging Infrastructure Development Program of Rosseti South PJSC for the period up to 2025, for 2021 in accordance with Annex 1 to this Decision of the Company's Board of Directors.</w:t>
      </w:r>
    </w:p>
    <w:p w:rsidR="007406DC" w:rsidRPr="007406DC" w:rsidP="00A42141">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211"/>
        <w:gridCol w:w="381"/>
        <w:gridCol w:w="2588"/>
        <w:gridCol w:w="2305"/>
        <w:gridCol w:w="292"/>
        <w:gridCol w:w="859"/>
      </w:tblGrid>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D.V. Krainsky</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M.V. Korotkova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I. D. Alyushenko</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E.V. Nikitchanova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P.V. Grebtsov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 xml:space="preserve">E.V. Prokhorov </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V.Yu. Zarkhin</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4F1B43">
            <w:pPr>
              <w:tabs>
                <w:tab w:val="left" w:pos="1134"/>
              </w:tabs>
              <w:bidi w:val="0"/>
              <w:jc w:val="both"/>
              <w:rPr>
                <w:b/>
                <w:bCs/>
              </w:rPr>
            </w:pPr>
            <w:r w:rsidRPr="007406DC">
              <w:rPr>
                <w:b/>
                <w:bCs/>
                <w:rtl w:val="0"/>
                <w:lang w:val="en"/>
              </w:rPr>
              <w:t>"ABSTAINED"</w:t>
            </w:r>
          </w:p>
        </w:tc>
        <w:tc>
          <w:tcPr>
            <w:tcW w:w="1334" w:type="pct"/>
          </w:tcPr>
          <w:p w:rsidR="007406DC" w:rsidRPr="007406DC" w:rsidP="007406DC">
            <w:pPr>
              <w:tabs>
                <w:tab w:val="left" w:pos="1134"/>
              </w:tabs>
              <w:bidi w:val="0"/>
              <w:jc w:val="both"/>
              <w:rPr>
                <w:bCs/>
              </w:rPr>
            </w:pPr>
            <w:r>
              <w:rPr>
                <w:bCs/>
                <w:rtl w:val="0"/>
                <w:lang w:val="en"/>
              </w:rPr>
              <w:t>B.B. Ebzeev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A.I. Kazakov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Pr>
                <w:rtl w:val="0"/>
                <w:lang w:val="en"/>
              </w:rPr>
              <w:t>A.A. Polinov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O.Yu. Klinkov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bl>
    <w:p w:rsidR="007406DC" w:rsidRPr="007406DC" w:rsidP="007406DC">
      <w:pPr>
        <w:tabs>
          <w:tab w:val="left" w:pos="1134"/>
        </w:tabs>
        <w:bidi w:val="0"/>
        <w:jc w:val="both"/>
        <w:rPr>
          <w:b/>
        </w:rPr>
      </w:pPr>
      <w:r w:rsidRPr="007406DC">
        <w:rPr>
          <w:b/>
          <w:rtl w:val="0"/>
          <w:lang w:val="en"/>
        </w:rPr>
        <w:t>The resolution was adopted.</w:t>
      </w:r>
    </w:p>
    <w:p w:rsidR="003775CD" w:rsidP="007406DC">
      <w:pPr>
        <w:widowControl w:val="0"/>
        <w:suppressAutoHyphens/>
        <w:rPr>
          <w:b/>
        </w:rPr>
      </w:pPr>
    </w:p>
    <w:p w:rsidR="007869C0" w:rsidP="007406DC">
      <w:pPr>
        <w:widowControl w:val="0"/>
        <w:suppressAutoHyphens/>
        <w:rPr>
          <w:b/>
        </w:rPr>
      </w:pPr>
    </w:p>
    <w:p w:rsidR="00A42141" w:rsidRPr="003A5C7C" w:rsidP="00A42141">
      <w:pPr>
        <w:widowControl w:val="0"/>
        <w:tabs>
          <w:tab w:val="left" w:pos="0"/>
        </w:tabs>
        <w:bidi w:val="0"/>
        <w:jc w:val="both"/>
        <w:rPr>
          <w:rFonts w:eastAsia="Calibri"/>
          <w:b/>
          <w:bCs/>
        </w:rPr>
      </w:pPr>
      <w:r w:rsidRPr="00544D1A">
        <w:rPr>
          <w:b/>
          <w:caps/>
          <w:rtl w:val="0"/>
          <w:lang w:val="en"/>
        </w:rPr>
        <w:t xml:space="preserve">Item No 2: </w:t>
      </w:r>
      <w:r w:rsidRPr="00544D1A">
        <w:rPr>
          <w:rFonts w:eastAsia="Calibri"/>
          <w:b/>
          <w:rtl w:val="0"/>
          <w:lang w:val="en"/>
        </w:rPr>
        <w:t>On approval of the Policy of Rosseti South PJSC in the field of energy saving and energy efficiency.</w:t>
      </w:r>
    </w:p>
    <w:p w:rsidR="00A42141" w:rsidP="00A42141">
      <w:pPr>
        <w:widowControl w:val="0"/>
        <w:tabs>
          <w:tab w:val="left" w:pos="709"/>
          <w:tab w:val="left" w:pos="851"/>
          <w:tab w:val="left" w:pos="993"/>
          <w:tab w:val="left" w:pos="1134"/>
        </w:tabs>
        <w:bidi w:val="0"/>
        <w:jc w:val="both"/>
        <w:rPr>
          <w:b/>
        </w:rPr>
      </w:pPr>
      <w:r w:rsidRPr="00BE449A">
        <w:rPr>
          <w:b/>
          <w:rtl w:val="0"/>
          <w:lang w:val="en"/>
        </w:rPr>
        <w:t>DECISION:</w:t>
      </w:r>
    </w:p>
    <w:p w:rsidR="00A42141" w:rsidP="00A42141">
      <w:pPr>
        <w:bidi w:val="0"/>
        <w:ind w:firstLine="567"/>
        <w:jc w:val="both"/>
        <w:rPr>
          <w:bCs/>
        </w:rPr>
      </w:pPr>
      <w:r w:rsidRPr="003813AC">
        <w:rPr>
          <w:bCs/>
          <w:rtl w:val="0"/>
          <w:lang w:val="en"/>
        </w:rPr>
        <w:t>Approve the Policy of Rosseti South PJSC in the field of energy saving and energy efficiency in accordance with Annex 2 to this Decision of the Company's Board of Directors.</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4F1B43">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7406DC" w:rsidP="00F22D34">
            <w:pPr>
              <w:tabs>
                <w:tab w:val="left" w:pos="1134"/>
              </w:tabs>
              <w:bidi w:val="0"/>
              <w:jc w:val="both"/>
            </w:pPr>
            <w:r>
              <w:rPr>
                <w:rtl w:val="0"/>
                <w:lang w:val="en"/>
              </w:rPr>
              <w:t>A.A. Polinov</w:t>
            </w:r>
          </w:p>
        </w:tc>
        <w:tc>
          <w:tcPr>
            <w:tcW w:w="150" w:type="pct"/>
          </w:tcPr>
          <w:p w:rsidR="00F22D34" w:rsidRPr="007406DC" w:rsidP="00F22D34">
            <w:pPr>
              <w:tabs>
                <w:tab w:val="left" w:pos="1134"/>
              </w:tabs>
              <w:bidi w:val="0"/>
              <w:jc w:val="both"/>
              <w:rPr>
                <w:b/>
                <w:bCs/>
              </w:rPr>
            </w:pPr>
            <w:r>
              <w:rPr>
                <w:b/>
                <w:bCs/>
                <w:rtl w:val="0"/>
                <w:lang w:val="en"/>
              </w:rPr>
              <w:t>-</w:t>
            </w:r>
          </w:p>
        </w:tc>
        <w:tc>
          <w:tcPr>
            <w:tcW w:w="1273" w:type="pct"/>
          </w:tcPr>
          <w:p w:rsidR="00F22D34" w:rsidRPr="007406DC" w:rsidP="00F22D34">
            <w:pPr>
              <w:tabs>
                <w:tab w:val="left" w:pos="1134"/>
              </w:tabs>
              <w:bidi w:val="0"/>
              <w:jc w:val="both"/>
              <w:rPr>
                <w:b/>
                <w:bCs/>
              </w:rPr>
            </w:pPr>
            <w:r>
              <w:rPr>
                <w:b/>
                <w:bCs/>
                <w:rtl w:val="0"/>
                <w:lang w:val="en"/>
              </w:rPr>
              <w:t>"FOR"</w:t>
            </w:r>
          </w:p>
        </w:tc>
      </w:tr>
      <w:tr w:rsidTr="00646765">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3775CD" w:rsidP="00761EEB">
      <w:pPr>
        <w:widowControl w:val="0"/>
        <w:tabs>
          <w:tab w:val="left" w:pos="0"/>
        </w:tabs>
        <w:jc w:val="both"/>
        <w:rPr>
          <w:b/>
          <w:caps/>
        </w:rPr>
      </w:pPr>
    </w:p>
    <w:p w:rsidR="007869C0" w:rsidP="00761EEB">
      <w:pPr>
        <w:widowControl w:val="0"/>
        <w:tabs>
          <w:tab w:val="left" w:pos="0"/>
        </w:tabs>
        <w:jc w:val="both"/>
        <w:rPr>
          <w:b/>
          <w:caps/>
        </w:rPr>
      </w:pPr>
    </w:p>
    <w:p w:rsidR="00A42141" w:rsidRPr="000A6238" w:rsidP="00A42141">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3: </w:t>
      </w:r>
      <w:r w:rsidRPr="00544D1A">
        <w:rPr>
          <w:rFonts w:eastAsia="Calibri"/>
          <w:b/>
          <w:rtl w:val="0"/>
          <w:lang w:val="en"/>
        </w:rPr>
        <w:t>On approval of the Energy Saving and Energy Efficiency Improvement Program of Rosseti South PJSC for the period of 2022-2026.</w:t>
      </w:r>
    </w:p>
    <w:p w:rsidR="00A42141" w:rsidP="00A42141">
      <w:pPr>
        <w:widowControl w:val="0"/>
        <w:tabs>
          <w:tab w:val="left" w:pos="709"/>
          <w:tab w:val="left" w:pos="851"/>
          <w:tab w:val="left" w:pos="993"/>
          <w:tab w:val="left" w:pos="1134"/>
        </w:tabs>
        <w:bidi w:val="0"/>
        <w:jc w:val="both"/>
        <w:rPr>
          <w:b/>
        </w:rPr>
      </w:pPr>
      <w:r w:rsidRPr="00BE449A">
        <w:rPr>
          <w:b/>
          <w:rtl w:val="0"/>
          <w:lang w:val="en"/>
        </w:rPr>
        <w:t>DECISION:</w:t>
      </w:r>
    </w:p>
    <w:p w:rsidR="00A42141" w:rsidRPr="00DD6CE0" w:rsidP="00A42141">
      <w:pPr>
        <w:tabs>
          <w:tab w:val="left" w:pos="1134"/>
        </w:tabs>
        <w:bidi w:val="0"/>
        <w:ind w:firstLine="567"/>
        <w:jc w:val="both"/>
        <w:rPr>
          <w:bCs/>
        </w:rPr>
      </w:pPr>
      <w:r w:rsidRPr="00DD6CE0">
        <w:rPr>
          <w:bCs/>
          <w:rtl w:val="0"/>
          <w:lang w:val="en"/>
        </w:rPr>
        <w:t>1. Approve the Energy Saving and Energy Efficiency Program of Rosseti South PJSC for the period 2022-2026 in accordance with Annex 3 hereto.</w:t>
      </w:r>
    </w:p>
    <w:p w:rsidR="00515DF7" w:rsidP="00A42141">
      <w:pPr>
        <w:tabs>
          <w:tab w:val="left" w:pos="1134"/>
        </w:tabs>
        <w:bidi w:val="0"/>
        <w:ind w:firstLine="567"/>
        <w:jc w:val="both"/>
        <w:rPr>
          <w:bCs/>
        </w:rPr>
      </w:pPr>
      <w:r w:rsidRPr="00DD6CE0">
        <w:rPr>
          <w:bCs/>
          <w:rtl w:val="0"/>
          <w:lang w:val="en"/>
        </w:rPr>
        <w:t>2. Declare the Energy Saving and Energy Efficiency Program of Rosseti South PJSC for 2017-2022, approved by the Resolution of the Company's Board of Directors on July 30, 2021 (Minutes of August 02, 2021 № 445/2021) to be no longer in force.</w:t>
      </w:r>
    </w:p>
    <w:p w:rsidR="005C0C58" w:rsidRPr="0016141B" w:rsidP="005C0C58">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D.V. Krainsky</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M.V. Korotkova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I. D. Alyushenko</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P.V. Grebtsov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V.Yu. Zarkhin</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4F1B43">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5C0C58" w:rsidRPr="00300AD1" w:rsidP="00C73631">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7406DC" w:rsidP="00F22D34">
            <w:pPr>
              <w:tabs>
                <w:tab w:val="left" w:pos="1134"/>
              </w:tabs>
              <w:bidi w:val="0"/>
              <w:jc w:val="both"/>
            </w:pPr>
            <w:r>
              <w:rPr>
                <w:rtl w:val="0"/>
                <w:lang w:val="en"/>
              </w:rPr>
              <w:t>A.A. Polinov</w:t>
            </w:r>
          </w:p>
        </w:tc>
        <w:tc>
          <w:tcPr>
            <w:tcW w:w="150" w:type="pct"/>
          </w:tcPr>
          <w:p w:rsidR="00F22D34" w:rsidRPr="007406DC" w:rsidP="00F22D34">
            <w:pPr>
              <w:tabs>
                <w:tab w:val="left" w:pos="1134"/>
              </w:tabs>
              <w:bidi w:val="0"/>
              <w:jc w:val="both"/>
              <w:rPr>
                <w:b/>
                <w:bCs/>
              </w:rPr>
            </w:pPr>
            <w:r>
              <w:rPr>
                <w:b/>
                <w:bCs/>
                <w:rtl w:val="0"/>
                <w:lang w:val="en"/>
              </w:rPr>
              <w:t>-</w:t>
            </w:r>
          </w:p>
        </w:tc>
        <w:tc>
          <w:tcPr>
            <w:tcW w:w="1273" w:type="pct"/>
          </w:tcPr>
          <w:p w:rsidR="00F22D34" w:rsidRPr="007406DC" w:rsidP="00F22D34">
            <w:pPr>
              <w:tabs>
                <w:tab w:val="left" w:pos="1134"/>
              </w:tabs>
              <w:bidi w:val="0"/>
              <w:jc w:val="both"/>
              <w:rPr>
                <w:b/>
                <w:bCs/>
              </w:rPr>
            </w:pPr>
            <w:r>
              <w:rPr>
                <w:b/>
                <w:bCs/>
                <w:rtl w:val="0"/>
                <w:lang w:val="en"/>
              </w:rPr>
              <w:t>"FOR"</w:t>
            </w:r>
          </w:p>
        </w:tc>
      </w:tr>
      <w:tr w:rsidTr="00C73631">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5C0C58" w:rsidP="005C0C58">
      <w:pPr>
        <w:tabs>
          <w:tab w:val="left" w:pos="540"/>
          <w:tab w:val="left" w:pos="1134"/>
        </w:tabs>
        <w:bidi w:val="0"/>
        <w:jc w:val="both"/>
        <w:rPr>
          <w:b/>
        </w:rPr>
      </w:pPr>
      <w:r w:rsidRPr="00B36DD3">
        <w:rPr>
          <w:b/>
          <w:rtl w:val="0"/>
          <w:lang w:val="en"/>
        </w:rPr>
        <w:t>The resolution was adopted.</w:t>
      </w:r>
    </w:p>
    <w:p w:rsidR="007922A8" w:rsidP="004D6DE0">
      <w:pPr>
        <w:widowControl w:val="0"/>
        <w:tabs>
          <w:tab w:val="left" w:pos="709"/>
          <w:tab w:val="left" w:pos="851"/>
          <w:tab w:val="left" w:pos="993"/>
          <w:tab w:val="left" w:pos="1134"/>
        </w:tabs>
        <w:jc w:val="both"/>
        <w:rPr>
          <w:b/>
          <w:caps/>
        </w:rPr>
      </w:pPr>
    </w:p>
    <w:p w:rsidR="00A42141" w:rsidRPr="005F0F0B" w:rsidP="00A42141">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No.4: </w:t>
      </w:r>
      <w:r w:rsidRPr="00544D1A">
        <w:rPr>
          <w:rFonts w:eastAsia="Calibri"/>
          <w:b/>
          <w:rtl w:val="0"/>
          <w:lang w:val="en"/>
        </w:rPr>
        <w:t>On determination of position of Rosseti South PJSC (representatives of Rosseti South PJSC) on agenda item of the Meeting of the Board of Directors of VMES JSC "On consideration of the Credit Policy Report of VMES JSC for 2021".</w:t>
      </w:r>
    </w:p>
    <w:p w:rsidR="00A42141" w:rsidP="00A42141">
      <w:pPr>
        <w:widowControl w:val="0"/>
        <w:tabs>
          <w:tab w:val="left" w:pos="709"/>
          <w:tab w:val="left" w:pos="851"/>
          <w:tab w:val="left" w:pos="993"/>
          <w:tab w:val="left" w:pos="1134"/>
        </w:tabs>
        <w:bidi w:val="0"/>
        <w:jc w:val="both"/>
        <w:rPr>
          <w:b/>
        </w:rPr>
      </w:pPr>
      <w:r w:rsidRPr="00BE449A">
        <w:rPr>
          <w:b/>
          <w:rtl w:val="0"/>
          <w:lang w:val="en"/>
        </w:rPr>
        <w:t>DECISION:</w:t>
      </w:r>
    </w:p>
    <w:p w:rsidR="00A42141" w:rsidRPr="00CF6F46" w:rsidP="00A42141">
      <w:pPr>
        <w:tabs>
          <w:tab w:val="left" w:pos="1134"/>
        </w:tabs>
        <w:bidi w:val="0"/>
        <w:ind w:firstLine="567"/>
        <w:jc w:val="both"/>
        <w:rPr>
          <w:bCs/>
        </w:rPr>
      </w:pPr>
      <w:r w:rsidRPr="00CF6F46">
        <w:rPr>
          <w:bCs/>
          <w:rtl w:val="0"/>
          <w:lang w:val="en"/>
        </w:rPr>
        <w:t>1.</w:t>
        <w:tab/>
        <w:t>Instruct the representatives of Rosseti South PJSC on agenda of the meeting of the Board of Directors of VMES JSC "On consideration of the Credit Policy Report of VMES JSC for 2021" to vote FOR the adoption of the following resolution:</w:t>
      </w:r>
    </w:p>
    <w:p w:rsidR="00A42141" w:rsidRPr="00CF6F46" w:rsidP="00A42141">
      <w:pPr>
        <w:tabs>
          <w:tab w:val="left" w:pos="1134"/>
        </w:tabs>
        <w:bidi w:val="0"/>
        <w:ind w:firstLine="567"/>
        <w:jc w:val="both"/>
        <w:rPr>
          <w:bCs/>
        </w:rPr>
      </w:pPr>
      <w:r>
        <w:rPr>
          <w:bCs/>
          <w:rtl w:val="0"/>
          <w:lang w:val="en"/>
        </w:rPr>
        <w:t>1.1.</w:t>
        <w:tab/>
        <w:t>Take in consideration the Credit Policy Report of VMES JSC for the 2021 in accordance with Annex to this Decision of the Company's Board of Directors.</w:t>
      </w:r>
    </w:p>
    <w:p w:rsidR="00A42141" w:rsidRPr="00CF6F46" w:rsidP="00A42141">
      <w:pPr>
        <w:tabs>
          <w:tab w:val="left" w:pos="1134"/>
        </w:tabs>
        <w:bidi w:val="0"/>
        <w:ind w:firstLine="567"/>
        <w:jc w:val="both"/>
        <w:rPr>
          <w:bCs/>
        </w:rPr>
      </w:pPr>
      <w:r>
        <w:rPr>
          <w:bCs/>
          <w:rtl w:val="0"/>
          <w:lang w:val="en"/>
        </w:rPr>
        <w:t>1.2.</w:t>
        <w:tab/>
        <w:t>Note the excess of the maximum permissible limits on debt coverage and debt service coverage, as well as the target limit on financial leverage.</w:t>
      </w:r>
    </w:p>
    <w:p w:rsidR="00A42141" w:rsidRPr="00CF6F46" w:rsidP="00A42141">
      <w:pPr>
        <w:tabs>
          <w:tab w:val="left" w:pos="1134"/>
        </w:tabs>
        <w:bidi w:val="0"/>
        <w:ind w:firstLine="567"/>
        <w:jc w:val="both"/>
        <w:rPr>
          <w:bCs/>
        </w:rPr>
      </w:pPr>
      <w:r>
        <w:rPr>
          <w:bCs/>
          <w:rtl w:val="0"/>
          <w:lang w:val="en"/>
        </w:rPr>
        <w:t>1.3.</w:t>
        <w:tab/>
        <w:t xml:space="preserve">Note the violation by the management of VMES JSC of the Credit Plan for 2021, approved by the Board of Directors of VMES JSC (Minutes No. 44/2021 dated March 16, 2021), in terms of exceeding the volume of loans attracted to finance operating activities and exceeding the debt on loans and borrowings on as of  31.12.2021. </w:t>
      </w:r>
    </w:p>
    <w:p w:rsidR="00A42141" w:rsidRPr="00CF6F46" w:rsidP="00A42141">
      <w:pPr>
        <w:tabs>
          <w:tab w:val="left" w:pos="1134"/>
        </w:tabs>
        <w:bidi w:val="0"/>
        <w:ind w:firstLine="567"/>
        <w:jc w:val="both"/>
        <w:rPr>
          <w:bCs/>
        </w:rPr>
      </w:pPr>
      <w:r>
        <w:rPr>
          <w:bCs/>
          <w:rtl w:val="0"/>
          <w:lang w:val="en"/>
        </w:rPr>
        <w:t>1.4.</w:t>
        <w:tab/>
        <w:t>The General Director of VMES JSC shall ensure compliance with the requirements of the Regulations on the credit policy of VMES JSC.</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EE665D">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7406DC" w:rsidP="00F22D34">
            <w:pPr>
              <w:tabs>
                <w:tab w:val="left" w:pos="1134"/>
              </w:tabs>
              <w:bidi w:val="0"/>
              <w:jc w:val="both"/>
            </w:pPr>
            <w:r>
              <w:rPr>
                <w:rtl w:val="0"/>
                <w:lang w:val="en"/>
              </w:rPr>
              <w:t>A.A. Polinov</w:t>
            </w:r>
          </w:p>
        </w:tc>
        <w:tc>
          <w:tcPr>
            <w:tcW w:w="150" w:type="pct"/>
          </w:tcPr>
          <w:p w:rsidR="00F22D34" w:rsidRPr="007406DC" w:rsidP="00F22D34">
            <w:pPr>
              <w:tabs>
                <w:tab w:val="left" w:pos="1134"/>
              </w:tabs>
              <w:bidi w:val="0"/>
              <w:jc w:val="both"/>
              <w:rPr>
                <w:b/>
                <w:bCs/>
              </w:rPr>
            </w:pPr>
            <w:r>
              <w:rPr>
                <w:b/>
                <w:bCs/>
                <w:rtl w:val="0"/>
                <w:lang w:val="en"/>
              </w:rPr>
              <w:t>-</w:t>
            </w:r>
          </w:p>
        </w:tc>
        <w:tc>
          <w:tcPr>
            <w:tcW w:w="1273" w:type="pct"/>
          </w:tcPr>
          <w:p w:rsidR="00F22D34" w:rsidRPr="007406DC" w:rsidP="00F22D34">
            <w:pPr>
              <w:tabs>
                <w:tab w:val="left" w:pos="1134"/>
              </w:tabs>
              <w:bidi w:val="0"/>
              <w:jc w:val="both"/>
              <w:rPr>
                <w:b/>
                <w:bCs/>
              </w:rPr>
            </w:pPr>
            <w:r>
              <w:rPr>
                <w:b/>
                <w:bCs/>
                <w:rtl w:val="0"/>
                <w:lang w:val="en"/>
              </w:rPr>
              <w:t>"FOR"</w:t>
            </w:r>
          </w:p>
        </w:tc>
      </w:tr>
      <w:tr w:rsidTr="00646765">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D00A8C" w:rsidRPr="005F0F0B" w:rsidP="00D00A8C">
      <w:pPr>
        <w:widowControl w:val="0"/>
        <w:tabs>
          <w:tab w:val="left" w:pos="709"/>
          <w:tab w:val="left" w:pos="851"/>
          <w:tab w:val="left" w:pos="993"/>
          <w:tab w:val="left" w:pos="1134"/>
        </w:tabs>
        <w:bidi w:val="0"/>
        <w:jc w:val="both"/>
        <w:rPr>
          <w:rFonts w:eastAsia="Calibri"/>
          <w:b/>
          <w:bCs/>
        </w:rPr>
      </w:pPr>
      <w:r w:rsidRPr="00544D1A">
        <w:rPr>
          <w:b/>
          <w:caps/>
          <w:rtl w:val="0"/>
          <w:lang w:val="en"/>
        </w:rPr>
        <w:t>Item No. 5:</w:t>
      </w:r>
      <w:r w:rsidRPr="00544D1A">
        <w:rPr>
          <w:rFonts w:eastAsia="Calibri"/>
          <w:b/>
          <w:rtl w:val="0"/>
          <w:lang w:val="en"/>
        </w:rPr>
        <w:t xml:space="preserve"> On determining the position of PJSC ROSSETI Yug (representatives of PJSC ROSSETI Yug) on ​​the issue on the agenda of the meeting of the Board of Directors of JSC VMES "On approval of the credit plan of JSC VMES for 2022".</w:t>
      </w:r>
    </w:p>
    <w:p w:rsidR="00D00A8C" w:rsidP="00D00A8C">
      <w:pPr>
        <w:widowControl w:val="0"/>
        <w:tabs>
          <w:tab w:val="left" w:pos="709"/>
          <w:tab w:val="left" w:pos="851"/>
          <w:tab w:val="left" w:pos="993"/>
          <w:tab w:val="left" w:pos="1134"/>
        </w:tabs>
        <w:bidi w:val="0"/>
        <w:jc w:val="both"/>
        <w:rPr>
          <w:b/>
        </w:rPr>
      </w:pPr>
      <w:r w:rsidRPr="00BE449A">
        <w:rPr>
          <w:b/>
          <w:rtl w:val="0"/>
          <w:lang w:val="en"/>
        </w:rPr>
        <w:t>DECISION:</w:t>
      </w:r>
    </w:p>
    <w:p w:rsidR="00D00A8C" w:rsidRPr="00351AA5" w:rsidP="00D00A8C">
      <w:pPr>
        <w:widowControl w:val="0"/>
        <w:tabs>
          <w:tab w:val="left" w:pos="1134"/>
        </w:tabs>
        <w:bidi w:val="0"/>
        <w:ind w:firstLine="567"/>
        <w:jc w:val="both"/>
      </w:pPr>
      <w:r w:rsidRPr="00351AA5">
        <w:rPr>
          <w:rtl w:val="0"/>
          <w:lang w:val="en"/>
        </w:rPr>
        <w:t>Instruct the representatives of Rosseti South PJSC on the item of the agenda of the meeting of the Board of Directors of JSC VMES "On approval of the Credit Plan of VMES JSC for 2022" vote "FOR" the adoption of the following resolution:</w:t>
      </w:r>
    </w:p>
    <w:p w:rsidR="00D00A8C" w:rsidRPr="00351AA5" w:rsidP="00D00A8C">
      <w:pPr>
        <w:widowControl w:val="0"/>
        <w:tabs>
          <w:tab w:val="left" w:pos="1134"/>
        </w:tabs>
        <w:bidi w:val="0"/>
        <w:ind w:firstLine="567"/>
        <w:jc w:val="both"/>
      </w:pPr>
      <w:r w:rsidRPr="00351AA5">
        <w:rPr>
          <w:rtl w:val="0"/>
          <w:lang w:val="en"/>
        </w:rPr>
        <w:t>"1. 1. Approve the Credit Plan of VMES JSC for 2022 in accordance with the Annex to this Decision of the Company's Board of Directors.</w:t>
      </w:r>
    </w:p>
    <w:p w:rsidR="00D00A8C" w:rsidRPr="00351AA5" w:rsidP="00D00A8C">
      <w:pPr>
        <w:widowControl w:val="0"/>
        <w:tabs>
          <w:tab w:val="left" w:pos="1134"/>
        </w:tabs>
        <w:bidi w:val="0"/>
        <w:ind w:firstLine="567"/>
        <w:jc w:val="both"/>
      </w:pPr>
      <w:r w:rsidRPr="00351AA5">
        <w:rPr>
          <w:rtl w:val="0"/>
          <w:lang w:val="en"/>
        </w:rPr>
        <w:t>2. The decision of the Board of Directors of VMES JSC dated December 30, 2021 (Minutes No. 58/2021 dated December 30, 2021) on item No. 9 “On approval of the loan plan of VMES JSC” for the 1st quarter of 2022 shall be declared no longer in force.</w:t>
      </w:r>
    </w:p>
    <w:p w:rsidR="00D00A8C" w:rsidRPr="00351AA5" w:rsidP="00D00A8C">
      <w:pPr>
        <w:widowControl w:val="0"/>
        <w:tabs>
          <w:tab w:val="left" w:pos="1134"/>
        </w:tabs>
        <w:bidi w:val="0"/>
        <w:ind w:firstLine="567"/>
        <w:jc w:val="both"/>
      </w:pPr>
      <w:r w:rsidRPr="00351AA5">
        <w:rPr>
          <w:rtl w:val="0"/>
          <w:lang w:val="en"/>
        </w:rPr>
        <w:t>3. To instruct the General Director of VMES JSC to ensure performance to the Credit Plan for 2022 in accordance with the Regulation on the credit policy".</w:t>
      </w:r>
    </w:p>
    <w:p w:rsidR="001E114B" w:rsidRPr="0016141B" w:rsidP="001E114B">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2C04DD">
        <w:tblPrEx>
          <w:tblW w:w="5133" w:type="pct"/>
          <w:tblInd w:w="-142" w:type="dxa"/>
          <w:tblLayout w:type="fixed"/>
          <w:tblLook w:val="0000"/>
        </w:tblPrEx>
        <w:tc>
          <w:tcPr>
            <w:tcW w:w="1134" w:type="pct"/>
          </w:tcPr>
          <w:p w:rsidR="001E114B" w:rsidRPr="0016141B" w:rsidP="002C04DD">
            <w:pPr>
              <w:pStyle w:val="BodyText"/>
              <w:widowControl w:val="0"/>
              <w:bidi w:val="0"/>
              <w:ind w:right="-90"/>
              <w:jc w:val="both"/>
              <w:rPr>
                <w:sz w:val="24"/>
                <w:szCs w:val="24"/>
              </w:rPr>
            </w:pPr>
            <w:r w:rsidRPr="0016141B">
              <w:rPr>
                <w:sz w:val="24"/>
                <w:szCs w:val="24"/>
                <w:rtl w:val="0"/>
                <w:lang w:val="en"/>
              </w:rPr>
              <w:t>D.V. Krainsky</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M.V. Korotkova</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tcPr>
          <w:p w:rsidR="001E114B" w:rsidRPr="0016141B" w:rsidP="002C04DD">
            <w:pPr>
              <w:pStyle w:val="BodyText"/>
              <w:widowControl w:val="0"/>
              <w:bidi w:val="0"/>
              <w:ind w:right="-90"/>
              <w:jc w:val="both"/>
              <w:rPr>
                <w:sz w:val="24"/>
                <w:szCs w:val="24"/>
              </w:rPr>
            </w:pPr>
            <w:r w:rsidRPr="0016141B">
              <w:rPr>
                <w:sz w:val="24"/>
                <w:szCs w:val="24"/>
                <w:rtl w:val="0"/>
                <w:lang w:val="en"/>
              </w:rPr>
              <w:t>I. D. Alyushenko</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shd w:val="clear" w:color="auto" w:fill="auto"/>
          </w:tcPr>
          <w:p w:rsidR="001E114B" w:rsidRPr="0016141B" w:rsidP="002C04DD">
            <w:pPr>
              <w:pStyle w:val="BodyText"/>
              <w:widowControl w:val="0"/>
              <w:bidi w:val="0"/>
              <w:ind w:right="-90"/>
              <w:jc w:val="both"/>
              <w:rPr>
                <w:sz w:val="24"/>
                <w:szCs w:val="24"/>
              </w:rPr>
            </w:pPr>
            <w:r w:rsidRPr="0016141B">
              <w:rPr>
                <w:sz w:val="24"/>
                <w:szCs w:val="24"/>
                <w:rtl w:val="0"/>
                <w:lang w:val="en"/>
              </w:rPr>
              <w:t>P.V. Grebtsov</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shd w:val="clear" w:color="auto" w:fill="auto"/>
          </w:tcPr>
          <w:p w:rsidR="001E114B" w:rsidRPr="0016141B" w:rsidP="002C04DD">
            <w:pPr>
              <w:pStyle w:val="BodyText"/>
              <w:widowControl w:val="0"/>
              <w:bidi w:val="0"/>
              <w:ind w:right="-90"/>
              <w:jc w:val="both"/>
              <w:rPr>
                <w:sz w:val="24"/>
                <w:szCs w:val="24"/>
              </w:rPr>
            </w:pPr>
            <w:r w:rsidRPr="0016141B">
              <w:rPr>
                <w:sz w:val="24"/>
                <w:szCs w:val="24"/>
                <w:rtl w:val="0"/>
                <w:lang w:val="en"/>
              </w:rPr>
              <w:t>V.Yu. Zarkhin</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4F1B43">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1E114B" w:rsidRPr="00300AD1" w:rsidP="002C04DD">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7406DC" w:rsidP="00F22D34">
            <w:pPr>
              <w:tabs>
                <w:tab w:val="left" w:pos="1134"/>
              </w:tabs>
              <w:bidi w:val="0"/>
              <w:jc w:val="both"/>
            </w:pPr>
            <w:r>
              <w:rPr>
                <w:rtl w:val="0"/>
                <w:lang w:val="en"/>
              </w:rPr>
              <w:t>A.A. Polinov</w:t>
            </w:r>
          </w:p>
        </w:tc>
        <w:tc>
          <w:tcPr>
            <w:tcW w:w="150" w:type="pct"/>
          </w:tcPr>
          <w:p w:rsidR="00F22D34" w:rsidRPr="007406DC" w:rsidP="00F22D34">
            <w:pPr>
              <w:tabs>
                <w:tab w:val="left" w:pos="1134"/>
              </w:tabs>
              <w:bidi w:val="0"/>
              <w:jc w:val="both"/>
              <w:rPr>
                <w:b/>
                <w:bCs/>
              </w:rPr>
            </w:pPr>
            <w:r>
              <w:rPr>
                <w:b/>
                <w:bCs/>
                <w:rtl w:val="0"/>
                <w:lang w:val="en"/>
              </w:rPr>
              <w:t>-</w:t>
            </w:r>
          </w:p>
        </w:tc>
        <w:tc>
          <w:tcPr>
            <w:tcW w:w="1273" w:type="pct"/>
          </w:tcPr>
          <w:p w:rsidR="00F22D34" w:rsidRPr="007406DC" w:rsidP="00F22D34">
            <w:pPr>
              <w:tabs>
                <w:tab w:val="left" w:pos="1134"/>
              </w:tabs>
              <w:bidi w:val="0"/>
              <w:jc w:val="both"/>
              <w:rPr>
                <w:b/>
                <w:bCs/>
              </w:rPr>
            </w:pPr>
            <w:r>
              <w:rPr>
                <w:b/>
                <w:bCs/>
                <w:rtl w:val="0"/>
                <w:lang w:val="en"/>
              </w:rPr>
              <w:t>"FOR"</w:t>
            </w:r>
          </w:p>
        </w:tc>
      </w:tr>
      <w:tr w:rsidTr="002C04DD">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1E114B" w:rsidP="001E114B">
      <w:pPr>
        <w:tabs>
          <w:tab w:val="left" w:pos="540"/>
          <w:tab w:val="left" w:pos="1134"/>
        </w:tabs>
        <w:bidi w:val="0"/>
        <w:jc w:val="both"/>
        <w:rPr>
          <w:b/>
        </w:rPr>
      </w:pPr>
      <w:r w:rsidRPr="00B36DD3">
        <w:rPr>
          <w:b/>
          <w:rtl w:val="0"/>
          <w:lang w:val="en"/>
        </w:rPr>
        <w:t>The resolution was adopted.</w:t>
      </w:r>
    </w:p>
    <w:p w:rsidR="001E114B" w:rsidP="001E114B">
      <w:pPr>
        <w:widowControl w:val="0"/>
        <w:suppressAutoHyphens/>
        <w:rPr>
          <w:b/>
          <w:highlight w:val="yellow"/>
        </w:rPr>
      </w:pPr>
    </w:p>
    <w:p w:rsidR="001E114B" w:rsidP="001E114B">
      <w:pPr>
        <w:widowControl w:val="0"/>
        <w:suppressAutoHyphens/>
        <w:rPr>
          <w:b/>
          <w:highlight w:val="yellow"/>
        </w:rPr>
      </w:pPr>
    </w:p>
    <w:p w:rsidR="001E114B"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F10CD5"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F10CD5"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FD17AB">
      <w:headerReference w:type="default" r:id="rId7"/>
      <w:footerReference w:type="default" r:id="rId8"/>
      <w:headerReference w:type="first" r:id="rId9"/>
      <w:pgSz w:w="11906" w:h="16838"/>
      <w:pgMar w:top="1134" w:right="707" w:bottom="567"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C151FC">
          <w:rPr>
            <w:noProof/>
          </w:rPr>
          <w:t>3</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852966"/>
    <w:multiLevelType w:val="hybridMultilevel"/>
    <w:tmpl w:val="D96452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B57599"/>
    <w:multiLevelType w:val="hybridMultilevel"/>
    <w:tmpl w:val="6BCCE258"/>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6"/>
  </w:num>
  <w:num w:numId="3">
    <w:abstractNumId w:val="10"/>
  </w:num>
  <w:num w:numId="4">
    <w:abstractNumId w:val="12"/>
  </w:num>
  <w:num w:numId="5">
    <w:abstractNumId w:val="9"/>
  </w:num>
  <w:num w:numId="6">
    <w:abstractNumId w:val="13"/>
  </w:num>
  <w:num w:numId="7">
    <w:abstractNumId w:val="2"/>
  </w:num>
  <w:num w:numId="8">
    <w:abstractNumId w:val="11"/>
  </w:num>
  <w:num w:numId="9">
    <w:abstractNumId w:val="3"/>
  </w:num>
  <w:num w:numId="10">
    <w:abstractNumId w:val="7"/>
  </w:num>
  <w:num w:numId="11">
    <w:abstractNumId w:val="1"/>
  </w:num>
  <w:num w:numId="12">
    <w:abstractNumId w:val="4"/>
  </w:num>
  <w:num w:numId="13">
    <w:abstractNumId w:val="5"/>
  </w:num>
  <w:num w:numId="14">
    <w:abstractNumId w:val="8"/>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238"/>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14B"/>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4DD"/>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AA5"/>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1D5"/>
    <w:rsid w:val="0038086F"/>
    <w:rsid w:val="00380BAA"/>
    <w:rsid w:val="00380C44"/>
    <w:rsid w:val="00380CFD"/>
    <w:rsid w:val="003810AF"/>
    <w:rsid w:val="003813AC"/>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43"/>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5DF7"/>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0F0B"/>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6765"/>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5C4B"/>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1F82"/>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14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4C0D"/>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1FC"/>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6F46"/>
    <w:rsid w:val="00CF709B"/>
    <w:rsid w:val="00CF7E84"/>
    <w:rsid w:val="00D0092A"/>
    <w:rsid w:val="00D00A8C"/>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CE0"/>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9AD"/>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3918"/>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65D"/>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2D34"/>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7AB"/>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BB70-D867-4C11-9BB1-D7215C9A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Pages>
  <Words>890</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138</cp:revision>
  <cp:lastPrinted>2021-10-22T10:53:00Z</cp:lastPrinted>
  <dcterms:created xsi:type="dcterms:W3CDTF">2021-10-22T10:53:00Z</dcterms:created>
  <dcterms:modified xsi:type="dcterms:W3CDTF">2022-05-18T08:14:00Z</dcterms:modified>
</cp:coreProperties>
</file>